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0203C3" w14:paraId="4F9450A3" w14:textId="181F1758">
            <w:r w:rsidRPr="000203C3">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B26A16"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AF31C7" w:rsidP="00AF31C7" w:rsidRDefault="00AF31C7" w14:paraId="21C7441E" w14:textId="77777777">
            <w:r>
              <w:t xml:space="preserve">External Circular 005 of 2024 "Provides instructions for the integration of ESG factors into the information disclosure mechanisms for FIC." </w:t>
            </w:r>
          </w:p>
          <w:p w:rsidR="00AF31C7" w:rsidP="00AF31C7" w:rsidRDefault="00AF31C7" w14:paraId="748CEF70" w14:textId="77777777"/>
          <w:p w:rsidRPr="00AF31C7" w:rsidR="00093CA9" w:rsidP="00AF31C7" w:rsidRDefault="00AF31C7" w14:paraId="313A697B" w14:textId="5DCA92E6">
            <w:pPr>
              <w:rPr>
                <w:lang w:val="sv-SE"/>
              </w:rPr>
            </w:pPr>
            <w:r w:rsidRPr="00AF31C7">
              <w:rPr>
                <w:lang w:val="sv-SE"/>
              </w:rPr>
              <w:t>Circular Externa 005 de 2024 “Imparte instrucciones para la integración de factores ASG en los mecanismos de revelación de información para FIC”</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B26A16" w14:paraId="1523C232" w14:textId="527E88B6">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EB7E82" w14:paraId="4E49657F" w14:textId="230E4ADC">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35C20172"/>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0F73EB" w14:paraId="18257824" w14:textId="304847C5">
            <w:r w:rsidRPr="000F73EB">
              <w:t>The Circular provides mandatory instructions for integrating ESG factors into the information disclosure mechanisms for Collective Investment Funds (FICs) in Colombia. Its goals are to increase transparency, reduce greenwashing, and strengthen ESG risk management in the financial sector. It is directly relevant to climate-related disclosure as it requires FICs to disclose ESG risks, policies, and performance.</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4573FD" w14:paraId="54354EEF" w14:textId="7D308528">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D16A4" w14:paraId="22A2FF1A" w14:textId="1F8A16F7">
            <w:pPr>
              <w:rPr>
                <w:color w:val="000000" w:themeColor="text1"/>
              </w:rPr>
            </w:pPr>
            <w:r>
              <w:rPr>
                <w:color w:val="000000" w:themeColor="text1"/>
              </w:rPr>
              <w:t>2024</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8D16A4" w14:paraId="5AD2325B" w14:textId="6AA0CFC6">
            <w:pPr>
              <w:rPr>
                <w:color w:val="000000" w:themeColor="text1"/>
              </w:rPr>
            </w:pPr>
            <w:r>
              <w:rPr>
                <w:color w:val="000000" w:themeColor="text1"/>
              </w:rPr>
              <w:t>2024</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CD6986" w14:paraId="7961F236" w14:textId="1461AD22">
            <w:r w:rsidRPr="00CD6986">
              <w:t>Independent regulatory or supervisory body</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CD6986" w14:paraId="58D97C26" w14:textId="433A2785">
            <w:r w:rsidRPr="00CD6986">
              <w:t>Superintendencia Financiera de Colombia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CD6986" w14:paraId="6DCCE4F4" w14:textId="290B00A5">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CD6986" w14:paraId="54F7EBC8" w14:textId="26247FED">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F95DB5" w14:paraId="2C2128DB" w14:textId="097B1CBF">
            <w:pPr>
              <w:keepNext/>
              <w:rPr>
                <w:color w:val="000000" w:themeColor="text1"/>
              </w:rPr>
            </w:pPr>
            <w:r w:rsidRPr="00F95DB5">
              <w:rPr>
                <w:color w:val="000000" w:themeColor="text1"/>
              </w:rPr>
              <w:t>Periodic reporting requirements are established, including mandatory ESG risk and performance disclosures in FIC reports, prospectuses, and regulations.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F95DB5" w14:paraId="16103FAE" w14:textId="53E59F23">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F95DB5" w14:paraId="2E680148" w14:textId="2B16F328">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F95DB5" w14:paraId="4EA62294" w14:textId="530A798B">
            <w:r>
              <w:t>X</w:t>
            </w:r>
          </w:p>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F95DB5" w14:paraId="7BF3CEC6" w14:textId="2A7B1F86">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F95DB5" w14:paraId="4A3DBF18" w14:textId="507510ED">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F95DB5" w14:paraId="5D69C390" w14:textId="3617253F">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F95DB5" w14:paraId="6E3BF266" w14:textId="30FCB0DD">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F95DB5" w14:paraId="78F26697" w14:textId="6919D2FE">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F95DB5" w14:paraId="7A06765B" w14:textId="1EC049C5">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F95DB5" w14:paraId="5E930EB6" w14:textId="51DAC8D5">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F95DB5" w14:paraId="1A2F5FE9" w14:textId="51576B0B">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F95DB5" w14:paraId="3EF422E2" w14:textId="21B272C5">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7FB907CF"/>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2B1216" w14:paraId="6227ED99" w14:textId="12D1BC75">
            <w:r>
              <w:t>X</w:t>
            </w:r>
          </w:p>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2B1216" w14:paraId="1A169030" w14:textId="1337830A">
            <w:r>
              <w:t>X</w:t>
            </w:r>
          </w:p>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2B1216" w14:paraId="08F9C226" w14:textId="53AAC264">
            <w:r>
              <w:t>X</w:t>
            </w:r>
          </w:p>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2B1216" w14:paraId="41BABB9B" w14:textId="58F0532A">
            <w:r>
              <w:t>X</w:t>
            </w:r>
          </w:p>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2B1216" w14:paraId="4535AE01" w14:textId="16B34E1F">
            <w:r>
              <w:t>X</w:t>
            </w:r>
          </w:p>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6CDDEC8C"/>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D64F4" w14:paraId="52C1CE50" w14:textId="708A4B1B">
            <w:r w:rsidRPr="005D64F4">
              <w:t xml:space="preserve">Applies to all </w:t>
            </w:r>
            <w:r>
              <w:t>asset managers</w:t>
            </w:r>
            <w:r w:rsidRPr="005D64F4">
              <w:t xml:space="preserve"> managed by entities headquartered in Colombia, except those in liquidation or disinvestment.</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CC6D68" w14:paraId="63E64AA4" w14:textId="6C391CA4">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CC6D68" w14:paraId="1D7AF7A5" w14:textId="660CA1CF">
            <w:r>
              <w:t>X</w:t>
            </w:r>
          </w:p>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CC6D68" w14:paraId="32F5A553" w14:textId="0DA86123">
            <w:r>
              <w:t>X</w:t>
            </w:r>
          </w:p>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CC6D68" w14:paraId="14407D2B" w14:textId="0FA33484">
            <w:r>
              <w:t>X</w:t>
            </w:r>
          </w:p>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207DBF" w14:paraId="6475235A" w14:textId="34796FB3">
            <w:r w:rsidRPr="00207DBF">
              <w:t>Sanctions are those generally applicable under Colombian financial regulation for non-compliance with supervisory instructions, including fines and possible restrictions on business activities.</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551C34EC">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5A7C56" w14:paraId="3F0CAF5D" w14:textId="36271A4D">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5A7C56" w14:paraId="6D63DD00" w14:textId="1528CA47">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15183E38"/>
        </w:tc>
        <w:tc>
          <w:tcPr>
            <w:tcW w:w="1440" w:type="dxa"/>
            <w:vAlign w:val="center"/>
          </w:tcPr>
          <w:p w:rsidR="00042406" w:rsidP="00DD3144" w:rsidRDefault="00042406" w14:paraId="7015C034" w14:textId="77777777"/>
        </w:tc>
        <w:tc>
          <w:tcPr>
            <w:tcW w:w="1890" w:type="dxa"/>
            <w:vAlign w:val="center"/>
          </w:tcPr>
          <w:p w:rsidR="00042406" w:rsidP="00DD3144" w:rsidRDefault="005D08C1" w14:paraId="0D7B8554" w14:textId="5E17A769">
            <w:r>
              <w:t>X</w:t>
            </w:r>
          </w:p>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4C7E4268"/>
        </w:tc>
        <w:tc>
          <w:tcPr>
            <w:tcW w:w="1440" w:type="dxa"/>
            <w:vAlign w:val="center"/>
          </w:tcPr>
          <w:p w:rsidR="00042406" w:rsidP="00DD3144" w:rsidRDefault="00042406" w14:paraId="07C6BDE2" w14:textId="77777777"/>
        </w:tc>
        <w:tc>
          <w:tcPr>
            <w:tcW w:w="1890" w:type="dxa"/>
            <w:vAlign w:val="center"/>
          </w:tcPr>
          <w:p w:rsidR="00042406" w:rsidP="00DD3144" w:rsidRDefault="005D08C1" w14:paraId="6E6F3A6D" w14:textId="22C672C3">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322D7AA8"/>
        </w:tc>
        <w:tc>
          <w:tcPr>
            <w:tcW w:w="1440" w:type="dxa"/>
            <w:vAlign w:val="center"/>
          </w:tcPr>
          <w:p w:rsidR="00042406" w:rsidP="00DD3144" w:rsidRDefault="00042406" w14:paraId="78F2FEC9" w14:textId="77777777"/>
        </w:tc>
        <w:tc>
          <w:tcPr>
            <w:tcW w:w="1890" w:type="dxa"/>
            <w:vAlign w:val="center"/>
          </w:tcPr>
          <w:p w:rsidR="00042406" w:rsidP="00DD3144" w:rsidRDefault="005D08C1" w14:paraId="1D255A36" w14:textId="15C75461">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5453C4" w14:paraId="5425AFE8" w14:textId="180996FB">
            <w:r>
              <w:t>X</w:t>
            </w:r>
          </w:p>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AFCBC72"/>
        </w:tc>
        <w:tc>
          <w:tcPr>
            <w:tcW w:w="1440" w:type="dxa"/>
            <w:vAlign w:val="center"/>
          </w:tcPr>
          <w:p w:rsidR="00042406" w:rsidP="00DD3144" w:rsidRDefault="00042406" w14:paraId="7EE9A7FE" w14:textId="77777777"/>
        </w:tc>
        <w:tc>
          <w:tcPr>
            <w:tcW w:w="1890" w:type="dxa"/>
            <w:vAlign w:val="center"/>
          </w:tcPr>
          <w:p w:rsidR="00042406" w:rsidP="00DD3144" w:rsidRDefault="005D08C1" w14:paraId="64DEAA9D" w14:textId="6CD62585">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4B80BCA1"/>
        </w:tc>
        <w:tc>
          <w:tcPr>
            <w:tcW w:w="1440" w:type="dxa"/>
            <w:vAlign w:val="center"/>
          </w:tcPr>
          <w:p w:rsidR="00042406" w:rsidP="00DD3144" w:rsidRDefault="00042406" w14:paraId="7603D43B" w14:textId="77777777"/>
        </w:tc>
        <w:tc>
          <w:tcPr>
            <w:tcW w:w="1890" w:type="dxa"/>
            <w:vAlign w:val="center"/>
          </w:tcPr>
          <w:p w:rsidR="00042406" w:rsidP="00DD3144" w:rsidRDefault="005D08C1" w14:paraId="0BF1E54E" w14:textId="6E6A63CA">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7AC75124"/>
        </w:tc>
        <w:tc>
          <w:tcPr>
            <w:tcW w:w="1440" w:type="dxa"/>
            <w:vAlign w:val="center"/>
          </w:tcPr>
          <w:p w:rsidR="00042406" w:rsidP="00DD3144" w:rsidRDefault="00042406" w14:paraId="61F239DB" w14:textId="77777777"/>
        </w:tc>
        <w:tc>
          <w:tcPr>
            <w:tcW w:w="1890" w:type="dxa"/>
            <w:vAlign w:val="center"/>
          </w:tcPr>
          <w:p w:rsidR="00042406" w:rsidP="00DD3144" w:rsidRDefault="005D08C1" w14:paraId="24A26498" w14:textId="02831B9F">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lastRenderedPageBreak/>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24D14248">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0AE89D2D">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18E272BC">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4258504B">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510D1759">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7E45A3D2">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50AA9E1B">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lastRenderedPageBreak/>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lastRenderedPageBreak/>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lastRenderedPageBreak/>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38232E" w14:paraId="5AB9508C" w14:textId="78CA8710">
            <w:r>
              <w:t>X</w:t>
            </w:r>
          </w:p>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38232E" w14:paraId="38F7C780" w14:textId="35C2447F">
            <w:r>
              <w:t>X</w:t>
            </w:r>
          </w:p>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38232E" w14:paraId="56AB3610" w14:textId="059B66C5">
            <w:r>
              <w:t>X</w:t>
            </w:r>
          </w:p>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38232E" w14:paraId="72C4E546" w14:textId="0AAC0DD5">
            <w:r>
              <w:t>X</w:t>
            </w:r>
          </w:p>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38232E" w14:paraId="420A0F67" w14:textId="4A1109A6">
            <w:r>
              <w:t>X</w:t>
            </w:r>
          </w:p>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38232E" w14:paraId="263820B0" w14:textId="0FEE7C1D">
            <w:r>
              <w:t xml:space="preserve">Asset managers </w:t>
            </w:r>
            <w:r w:rsidR="005A0701">
              <w:t xml:space="preserve">(FICs) </w:t>
            </w:r>
            <w:r>
              <w:t xml:space="preserve">are required to inform </w:t>
            </w:r>
            <w:r w:rsidR="00D27C9F">
              <w:t xml:space="preserve">any investment with capacity to impact aspects related to ESG. </w:t>
            </w:r>
          </w:p>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lastRenderedPageBreak/>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B81709" w14:paraId="7B766908" w14:textId="5DC90DAF">
            <w:r>
              <w:t>X</w:t>
            </w:r>
          </w:p>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B81709" w14:paraId="3A0D212A" w14:textId="051EC8F8">
            <w:r>
              <w:t>X</w:t>
            </w:r>
          </w:p>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B81709" w14:paraId="2DCD03A4" w14:textId="09109622">
            <w:r>
              <w:t>X</w:t>
            </w:r>
          </w:p>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lastRenderedPageBreak/>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lastRenderedPageBreak/>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144549" w14:paraId="2724C691" w14:textId="62E149D0">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23DA1764" w14:textId="729C00B0">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144549" w14:paraId="37E1EB84" w14:textId="77D99E54">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00C1337B" w14:textId="65D349A9">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C04169" w14:paraId="5A50D045" w14:textId="0CBB685F">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935245" w14:paraId="436F514C" w14:textId="66FBB51B">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935245" w14:paraId="511E94E2" w14:textId="615FCB96">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935245" w14:paraId="41CFE03C" w14:textId="33122038">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935245" w14:paraId="5164AC81" w14:textId="596ADF4E">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935245" w14:paraId="23AB5197" w14:textId="7405A0CE">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935245" w14:paraId="18B7F8D2" w14:textId="16F6E724">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144549" w14:paraId="3C133059" w14:textId="4A420C5E">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897565" w14:paraId="4CF5ABCA" w14:textId="7979EB62">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897565" w14:paraId="751F0476" w14:textId="55480FB4">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897565" w14:paraId="52CD3EF6" w14:textId="488F4508">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00B22" w:rsidP="00874E39" w:rsidRDefault="00000B22" w14:paraId="561580CD" w14:textId="77777777">
      <w:r>
        <w:separator/>
      </w:r>
    </w:p>
  </w:endnote>
  <w:endnote w:type="continuationSeparator" w:id="0">
    <w:p w:rsidR="00000B22" w:rsidP="00874E39" w:rsidRDefault="00000B22" w14:paraId="68B25075" w14:textId="77777777">
      <w:r>
        <w:continuationSeparator/>
      </w:r>
    </w:p>
  </w:endnote>
  <w:endnote w:type="continuationNotice" w:id="1">
    <w:p w:rsidR="00000B22" w:rsidRDefault="00000B22" w14:paraId="0167242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00B22" w:rsidP="00874E39" w:rsidRDefault="00000B22" w14:paraId="4D12137E" w14:textId="77777777">
      <w:r>
        <w:separator/>
      </w:r>
    </w:p>
  </w:footnote>
  <w:footnote w:type="continuationSeparator" w:id="0">
    <w:p w:rsidR="00000B22" w:rsidP="00874E39" w:rsidRDefault="00000B22" w14:paraId="32BC5D2F" w14:textId="77777777">
      <w:r>
        <w:continuationSeparator/>
      </w:r>
    </w:p>
  </w:footnote>
  <w:footnote w:type="continuationNotice" w:id="1">
    <w:p w:rsidR="00000B22" w:rsidRDefault="00000B22" w14:paraId="2D06B03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B22"/>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3C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3E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4549"/>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2F6"/>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DB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216"/>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E02"/>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32E"/>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3FD"/>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3C4"/>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701"/>
    <w:rsid w:val="005A2023"/>
    <w:rsid w:val="005A270C"/>
    <w:rsid w:val="005A2821"/>
    <w:rsid w:val="005A2900"/>
    <w:rsid w:val="005A383B"/>
    <w:rsid w:val="005A4E4C"/>
    <w:rsid w:val="005A54A2"/>
    <w:rsid w:val="005A5613"/>
    <w:rsid w:val="005A76C9"/>
    <w:rsid w:val="005A7C56"/>
    <w:rsid w:val="005B355B"/>
    <w:rsid w:val="005B4539"/>
    <w:rsid w:val="005C327C"/>
    <w:rsid w:val="005C4420"/>
    <w:rsid w:val="005C5681"/>
    <w:rsid w:val="005C6A1D"/>
    <w:rsid w:val="005C765C"/>
    <w:rsid w:val="005C7DF6"/>
    <w:rsid w:val="005D02C9"/>
    <w:rsid w:val="005D08C1"/>
    <w:rsid w:val="005D55BE"/>
    <w:rsid w:val="005D64F4"/>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565"/>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6A4"/>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245"/>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6D7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197"/>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A16"/>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709"/>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169"/>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D68"/>
    <w:rsid w:val="00CC77F9"/>
    <w:rsid w:val="00CC7CC0"/>
    <w:rsid w:val="00CD0735"/>
    <w:rsid w:val="00CD3D23"/>
    <w:rsid w:val="00CD42E0"/>
    <w:rsid w:val="00CD5322"/>
    <w:rsid w:val="00CD5934"/>
    <w:rsid w:val="00CD5F3D"/>
    <w:rsid w:val="00CD61C8"/>
    <w:rsid w:val="00CD6986"/>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C9F"/>
    <w:rsid w:val="00D3060F"/>
    <w:rsid w:val="00D31B8E"/>
    <w:rsid w:val="00D31FBC"/>
    <w:rsid w:val="00D32A99"/>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DB5"/>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financiera.gov.co/publicaciones/10104699/industrias-supervisadasfinanzas-sosteniblesdocumentos-tecnicos-y-normativa-10104699/"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1651FF9-237D-490B-9203-997201F17801}"/>
</file>

<file path=customXml/itemProps2.xml><?xml version="1.0" encoding="utf-8"?>
<ds:datastoreItem xmlns:ds="http://schemas.openxmlformats.org/officeDocument/2006/customXml" ds:itemID="{99378B59-3B65-4D0B-9030-977596F79EBD}"/>
</file>

<file path=customXml/itemProps3.xml><?xml version="1.0" encoding="utf-8"?>
<ds:datastoreItem xmlns:ds="http://schemas.openxmlformats.org/officeDocument/2006/customXml" ds:itemID="{EDFF05DC-019A-43E3-BF29-538450E753D6}"/>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